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DC54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547E" w:rsidRDefault="00A62E4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DC547E" w:rsidRDefault="00A62E4D">
            <w:pPr>
              <w:spacing w:after="0" w:line="240" w:lineRule="auto"/>
            </w:pPr>
            <w:r>
              <w:t>17304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547E" w:rsidRDefault="00A62E4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DC547E" w:rsidRDefault="00A62E4D">
            <w:pPr>
              <w:spacing w:after="0" w:line="240" w:lineRule="auto"/>
            </w:pPr>
            <w:r>
              <w:t>SREDNJA ŠKOLA ZA ELEKTROTEHNIKU I RAČUNALSTVO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DC547E" w:rsidRDefault="00A62E4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DC547E" w:rsidRDefault="00A62E4D">
            <w:pPr>
              <w:spacing w:after="0" w:line="240" w:lineRule="auto"/>
            </w:pPr>
            <w:r>
              <w:t>31</w:t>
            </w:r>
          </w:p>
        </w:tc>
      </w:tr>
    </w:tbl>
    <w:p w:rsidR="00DC547E" w:rsidRDefault="00A62E4D">
      <w:r>
        <w:br/>
      </w:r>
    </w:p>
    <w:p w:rsidR="00DC547E" w:rsidRDefault="00A62E4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DC547E" w:rsidRDefault="00A62E4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DC547E" w:rsidRDefault="00A62E4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1.861.216,37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2.058.008,42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1.833.532,77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2.161.916,58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117,9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103.908,16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33.660,43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26.660,69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79,2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33.660,43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26.660,69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79,2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5.976,83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130.568,85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2184,6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U razdoblju od 01.01.-31.12.2025.g ostvareni su ukupni prihodi u iznosu od 2.058.008,42€ i rashodi  u ukupnom iznosu od 2.188.577,27€. Slijedom toga ukupan manjak prihoda u razdoblju  iznosio bi 130.568,85 €, na koji je dodan i višak prihoda prenesen iz pr</w:t>
      </w:r>
      <w:r>
        <w:t>ethodnih godina u iznosu od 11.083,78 €. Manjak prihoda u slijedećem razdoblju iznosi 119.485,07 €.</w:t>
      </w:r>
    </w:p>
    <w:p w:rsidR="00DC547E" w:rsidRDefault="00A62E4D">
      <w:r>
        <w:t>S obzirom da je od 1. siječnja 2025. promijenjena metodologija evidentiranja EU tijekova, Uputom je od 1. siječnja 2025. uvedena obveza evidentiranja uplaće</w:t>
      </w:r>
      <w:r>
        <w:t xml:space="preserve">nih predujmova kao </w:t>
      </w:r>
      <w:r>
        <w:lastRenderedPageBreak/>
        <w:t xml:space="preserve">obveze za primljene predujmove, potraživanja i obračunatih prihoda za pomoći od institucija i tijela EU odnosno potraživanja i obračunatih prihoda od pomoći temeljem prijenosa EU sredstava s ciljem neutralizacije EU tijekova na rezultat </w:t>
      </w:r>
      <w:r>
        <w:t>(višak/manjak) iz nacionalnih sredstava.</w:t>
      </w:r>
    </w:p>
    <w:p w:rsidR="00DC547E" w:rsidRDefault="00A62E4D">
      <w:r>
        <w:t>Nadalje, Škola je sukladno važećim propisima u 2024. godini, utvrdila višak prihoda EU projekta po osnovi priznavanja primljenog predujma u prihod u godini uplate predujma (2024.g. i ranije), a rashodi EU projekta s</w:t>
      </w:r>
      <w:r>
        <w:t xml:space="preserve">u nastali u 2025. godini, takav višak prihoda prenijeli smo kao rezultat poslovanja u 2025. godinu u kojoj je došlo do promjene metodologije priznavanja EU prihoda i rashoda. Sukladno točki </w:t>
      </w:r>
      <w:proofErr w:type="spellStart"/>
      <w:r>
        <w:t>IX.g</w:t>
      </w:r>
      <w:proofErr w:type="spellEnd"/>
      <w:r>
        <w:t xml:space="preserve">) Okružnice.  Za preneseni višak prihoda od projekta </w:t>
      </w:r>
      <w:proofErr w:type="spellStart"/>
      <w:r>
        <w:t>Erasmus</w:t>
      </w:r>
      <w:proofErr w:type="spellEnd"/>
      <w:r>
        <w:t xml:space="preserve">+ </w:t>
      </w:r>
      <w:r>
        <w:t>ECOSTEAM, 821,77€ korigiran je preneseni rezultat u 2025. godini (11.905,55€) na način da smo korigirali višak te iskazali obvezu za primljeni predujam od programskog tijela nadležnog za ugovaranje i isplatu sredstava.</w:t>
      </w:r>
    </w:p>
    <w:p w:rsidR="00DC547E" w:rsidRDefault="00A62E4D">
      <w:r>
        <w:t xml:space="preserve">Na račun 922 Rezultat – višak/manjak </w:t>
      </w:r>
      <w:r>
        <w:t>prikazan je  manjak u iznosu  od 119.485,07€</w:t>
      </w:r>
    </w:p>
    <w:p w:rsidR="00DC547E" w:rsidRDefault="00A62E4D">
      <w:r>
        <w:t>Razlog ostvarenog manjka je u promjeni u Pravilniku o proračunskom računovodstvu gdje se rashodi za pomoći unutar općeg proračuna knjiže se i dalje po novčanom načelu u trenutku plaćanja, ali je uvedena i obveza</w:t>
      </w:r>
      <w:r>
        <w:t xml:space="preserve"> prethodnog knjiženja obračunatih rashoda za pomoći unutar općeg proračuna i obveza za pomoći unutar općeg proračuna po modificiranom načelu nastanka događaja. Knjiženja rashoda za pomoći unutar općeg proračuna po novčanom načelu važno je zbog eliminacije </w:t>
      </w:r>
      <w:r>
        <w:t>ovih rashoda s prihodima od pomoći unutar općeg proračuna u konsolidaciji financijskih izvještaja općeg proračuna. Uslijed primjene pravila iz novog proračunskog računovodstva i ukidanje konta 193 i uvođenja nove sheme knjiženja na 163 i 963 javlja se meto</w:t>
      </w:r>
      <w:r>
        <w:t>dološki veća razlika uspoređujući ovo i prošlogodišnje razdoblje. Sve je to razlog knjiženja troška plaća za razdoblje 12/2024 – 12/2025 pa tako imamo proknjižena 13 troška plaće (12/2024, 01/2025, 02/2025, 03/2025, 04/2025, 05/2025, 06/2025, 07/2025, 08/2</w:t>
      </w:r>
      <w:r>
        <w:t xml:space="preserve">025, 09/2025, 10/2025, 11/2025 i 12/2025) i 12 prihoda za troškove plaće (12/2024, 01/2025, 02/2025, 03/2025, 04/2025, 05/2025, 06/2025, 07/2025, 08/2025, 09/2025, 10/2025 i 11/2025.). Prihod za plaću 12/2025 bit će proknjižen u siječnju 2026. godine kada </w:t>
      </w:r>
      <w:r>
        <w:t>će plaća biti i isplaćena, čime će se zatvoriti i potraživanja za tekuće pomoći proračunskim korisnicima iz proračuna koji im nije nadležan.  </w:t>
      </w:r>
    </w:p>
    <w:p w:rsidR="00DC547E" w:rsidRDefault="00A62E4D">
      <w:r>
        <w:br/>
      </w:r>
    </w:p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Iznos od 5.191,24€ odnosi se na ukupno priznati prihod od pomoći temeljem prijenosa EU sredstava u visini nastalih troškova u 2025. godini.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1.662.788,55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1.835.104,75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110,4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Prihod je veći za 10,4% iz razloga što je u ovom izvještajnom razdoblju došlo do povećanja plaća zaposlenika zbog uvođenja Uredbe o nazivima radnih mjesta i koeficijentima složenosti poslova u javnim službama ali i povećanja osnovice (3%) od veljače 2025. </w:t>
      </w:r>
      <w:r>
        <w:t>god i rujna (3%) 2025. godine.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8.705,00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82,0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Prihod je ostvaren od turističkih agencija za financiranje troškova – dnevnica pedagoške pratnje učenika od strane profesora škole i od uplate učenika za osiguranje u slučaju nezgode. Prihod je manji nego li prošle godine za 18% iz razloga manjeg interes</w:t>
      </w:r>
      <w:r>
        <w:t>a učenika oko osiguranja u slučaju nezgode.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46.459,61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65.489,30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Prihod je veći za 41% nego li prošle godine, a sastoji se od uplata polaznika obrazovanja odraslih. Uz to prihod je veći jer su se održavali programi </w:t>
      </w:r>
      <w:proofErr w:type="spellStart"/>
      <w:r>
        <w:t>Mikrokvalifikacije</w:t>
      </w:r>
      <w:proofErr w:type="spellEnd"/>
      <w:r>
        <w:t xml:space="preserve"> za montera </w:t>
      </w:r>
      <w:proofErr w:type="spellStart"/>
      <w:r>
        <w:t>fotonaponskih</w:t>
      </w:r>
      <w:proofErr w:type="spellEnd"/>
      <w:r>
        <w:t xml:space="preserve"> ćelija, koje je preko vaučera za polaznike financirao Hrvatski</w:t>
      </w:r>
      <w:r>
        <w:t xml:space="preserve"> zavod za zapošljavanje. Iznos od 49.894,30 € predstavlja uplate za polaznike obrazovanja </w:t>
      </w:r>
      <w:proofErr w:type="spellStart"/>
      <w:r>
        <w:t>Mikrokvalifikacije</w:t>
      </w:r>
      <w:proofErr w:type="spellEnd"/>
      <w:r>
        <w:t xml:space="preserve"> i to u dva provedena termina edukacije. Također, iznos od 3.307,50 € odnosi se na uplate od podzakupa prostora za 3 </w:t>
      </w:r>
      <w:proofErr w:type="spellStart"/>
      <w:r>
        <w:t>samoposlužna</w:t>
      </w:r>
      <w:proofErr w:type="spellEnd"/>
      <w:r>
        <w:t xml:space="preserve"> aparata u prostori</w:t>
      </w:r>
      <w:r>
        <w:t>ma Škole. Iznos od 12.287,50€ odnosi se na uplate polaznika obrazovanja odraslih.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422,3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Tekuće donacije ostvarene su od trgovačkih društava, kao potpora školi za nabavu materijala i opreme za nastavu te kao doprinos učenicima za troškove puta na </w:t>
      </w:r>
      <w:proofErr w:type="spellStart"/>
      <w:r>
        <w:t>Maker</w:t>
      </w:r>
      <w:proofErr w:type="spellEnd"/>
      <w:r>
        <w:t xml:space="preserve"> </w:t>
      </w:r>
      <w:proofErr w:type="spellStart"/>
      <w:r>
        <w:t>Faire</w:t>
      </w:r>
      <w:proofErr w:type="spellEnd"/>
      <w:r>
        <w:t xml:space="preserve"> u Rimu. Najveća donacija od 10.000,00€ dolazi od trgovačkog društva s kojom će se omog</w:t>
      </w:r>
      <w:r>
        <w:t xml:space="preserve">ućiti uređenje učionica i nabava stručne opreme za nastavu. Također su uplaćene donacije u iznosu od 550,00€ za podršku učenicima na natjecanju </w:t>
      </w:r>
      <w:proofErr w:type="spellStart"/>
      <w:r>
        <w:t>RobotIK</w:t>
      </w:r>
      <w:proofErr w:type="spellEnd"/>
      <w:r>
        <w:t xml:space="preserve"> koje će se održati u 2026. godini.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109.166,31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119.417,79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Prihodi iz nadležnog proračuna PGŽ ostvareni su u iznosu od 119.417,79 € a odnose se na sredstva decentralizacije za materijalne rashode u iznosu od 95.485,67€, na  potrebe iznad zakonskog standarda (programi školskog kurikuluma i natjecanja i smotre) 15.1</w:t>
      </w:r>
      <w:r>
        <w:t>86,34€, te na pomoćnika u nastavi  8.745,78€.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</w:t>
            </w:r>
            <w:r>
              <w:rPr>
                <w:sz w:val="18"/>
              </w:rPr>
              <w:t>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6.495,48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29,3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Prihod iz nadležnog proračuna za financiranje rashoda za nabavu nefinancijske imovine u iznosu od 1.900,00€ predstavlja prihod za nabavu računalne opreme za pokretanje školskog podcasta i nabavu novih ormara za knjižnicu.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1.366.707,02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1.613.315,66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lastRenderedPageBreak/>
        <w:t>Plaće za zaposlenike u ovoj godini veće su nego li prošle godine za 18% iz razloga što je došlo do povećanja osnovice za izračun plaća i povećanja plaća prema uredbi o novim koeficijentima radnih mjesta. Važno je napomenuti da se uslijed primjene pravila i</w:t>
      </w:r>
      <w:r>
        <w:t>z novog proračunskog računovodstva i ukidanje konta 193 javlja se metodološki veća razlika uspoređujući ovo i prošlogodišnje razdoblje. Sve je to razlog knjiženja troška plaća za razdoblje 12/2024 – 12/2025 pa tako imamo proknjiženo 13 troškova plaće i  12</w:t>
      </w:r>
      <w:r>
        <w:t xml:space="preserve"> prihoda za troškove plaće. Prihod za plaću 12/2025 bit će proknjižen u siječnju  2026. godine kada će plaća biti i isplaćena.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40.472,84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77.908,21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192,5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Rashodi za prekovremeni rad iznose 77.908,21€ viši su u odnosu na prethodnu godinu jer se vežu na uvećanje koeficijenata radnih mjesta nastavnika ali i zbog većeg broja redovnih prekovremenih proizašlih iz tjednih zaduženja nastavnika.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263,5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Rashodi za stručno usavršavanje zaposlenika znatno je veće nego li prošle godine iz razloga većeg odlazaka zaposlenika na stručna usavršavanja nego li je to bilo u prošloj godini, a uključuje kotizacije za seminare, stručne skupove i konferencije.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</w:t>
      </w:r>
      <w:r>
        <w:rPr>
          <w:sz w:val="28"/>
        </w:rPr>
        <w:t>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5.253,78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8.733,12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166,2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U ovoj godini iskazana je veća potreba za uslugama tekućeg održavanja nego što je to bilo u prošle godine, a odnosi se na zamjenu stare mrežne konfiguracije novom i montaže novih rasvjetnih tijela te stolarske popravke u učionicama i zbornici, instalaciju </w:t>
      </w:r>
      <w:r>
        <w:t xml:space="preserve">video </w:t>
      </w:r>
      <w:proofErr w:type="spellStart"/>
      <w:r>
        <w:t>portafona</w:t>
      </w:r>
      <w:proofErr w:type="spellEnd"/>
      <w:r>
        <w:t>, analize stanja objekta i procjene rizika vezanog uz sigurnost opskrbe vodom i servisa uljnog plamenika na kotlovnici centralnog grijanja.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2.218,83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299,6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Trošak 3236 odnosi se na sistematske i preventivne zdravstvene preglede zaposlenika, a u ovom izvještajnom razdoblju ostvareno ih je više nego li u prošlogodišnjem. Trošak se knjiži prema trenutku nastanka, odnosno obavljanja pregleda.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3.564,67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125,3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Rashodi za računalne usluge su povećani iz razloga povećanja cijena istih.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</w:t>
            </w:r>
            <w:r>
              <w:rPr>
                <w:sz w:val="18"/>
              </w:rPr>
              <w:t>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119.485,07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Iznos prenesenog viška poslovanja rezultat je proknjižene Odluke o raspodjeli rezultata poslovanja 2024.g. Ali s obzirom da je od 1. siječnja 2025. promijenjena metodologija evidentiranja EU tijekova, Uputom je od 1. siječnja 2025. uvedena obveza evidentir</w:t>
      </w:r>
      <w:r>
        <w:t>anja uplaćenih predujmova kao obveze za primljene predujmove, potraživanja i obračunatih prihoda za pomoći od institucija i tijela EU odnosno potraživanja i obračunatih prihoda od pomoći temeljem prijenosa EU sredstava s ciljem neutralizacije EU tijekova n</w:t>
      </w:r>
      <w:r>
        <w:t>a rezultat (višak/manjak) iz nacionalnih sredstava izvršena je korekcija financijskog rezultata 2024. godine te je umanjen višak prihoda za 821,77€. U 2025. godini financijski rezultat daje manjak viška prihoda u iznosu od 119.485,07€.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16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(šifre 1111 do 1114)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14.678,76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41.454,56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282,4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Stanje novčanih sredstava na dan 31.12.2025. na žiro računu škole iznose 41.454,56€. U većem je iznosu nego li prošle godine iz razloga uplate donacije trgovačkog društva i uplate druge rate od HZZ-a za polaznike obrazovanja </w:t>
      </w:r>
      <w:proofErr w:type="spellStart"/>
      <w:r>
        <w:t>mikrokvalifikacija</w:t>
      </w:r>
      <w:proofErr w:type="spellEnd"/>
      <w:r>
        <w:t>. Spomenute u</w:t>
      </w:r>
      <w:r>
        <w:t>plate su uplaćene krajem godine.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6.907,76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8.085,46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Stanje ostalih potraživanja na kraju 2025.g. sastoji se od:</w:t>
      </w:r>
    </w:p>
    <w:p w:rsidR="00DC547E" w:rsidRDefault="00A62E4D">
      <w:r>
        <w:t>- potraživanja od HZZO za bolovanja na njihov teret u iznosu od 3.868,55 €;</w:t>
      </w:r>
    </w:p>
    <w:p w:rsidR="00DC547E" w:rsidRDefault="00A62E4D">
      <w:r>
        <w:t>- potraživanja od države za neizdane obveznice po osnovi plaćenih rata u valuti za prodane stanove na kojima je postojalo stanarsko pravo u iznosu od 4.216,91 €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154.530,16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Uslijed primjene pravila iz novog proračunskog računovodstva i ukidanje konta 193 i uvođenja nove sheme knjiženja na 163 i 963 javlja se metodološki veća razlika uspoređujući ovo i prošlogodišnje razdoblje. Na račun 16 Potraživanja za prihode poslovanja kn</w:t>
      </w:r>
      <w:r>
        <w:t>jižen je iznos od 175.966,22€ koji se odnosi na Potraživanja za pomoći iz inozemstva i od subjekata unutar općeg proračuna (163) u iznosu od 154.530,16€ ( Plaća 12/2025) i Potraživanja za prihode od prodaje proizvoda i roba te pruženih usluga (166)  21.436</w:t>
      </w:r>
      <w:r>
        <w:t>,06€ a odnosi se na obračunate školarine polaznika obrazovanja odraslih, a koje plaćaju u ratama.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145.760,45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164.956,57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Na računu 2 – Obveze knjižen je iznos od 164.956,57€ koji je za 13,2% veći nego u prošlogodišnjem razdoblju, zbog promjena u knjiženju EU projekata prema Okružnici u kojoj kaže da “ Korisnici projekata koji su u svojim poslovnim knjigama na kraju 2024. utv</w:t>
      </w:r>
      <w:r>
        <w:t>rdili višak prihoda nad rashodima u skladu s prethodno važećom metodologijom priznavanja prihoda i rashoda EU tijekova, odnosno primljeni predujam priznavali su u prihod u godini uplate (u 2024.), a rashodi su nastali tek u 2025. Takav višak prihoda nad ra</w:t>
      </w:r>
      <w:r>
        <w:t>shodima prenijeli su kroz rezultat poslovanja u 2025. u kojoj je došlo do promjene metodologije priznavanja EU prihoda i rashoda. Korisnici projekata, s ciljem što realnijeg iskazivanja rezultata poslovanja kroz godine na razini korisnika, korigiraju utvrđ</w:t>
      </w:r>
      <w:r>
        <w:t>eni rezultat za 2024. koji je prenesen u 2025. na način da korigiraju višak te iskažu obvezu za primljeni predujam od AMPEU“. Saldo na kontu 27511 prikazuje iznos ostataka sredstava po EU projektu, 510,53€.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</w:t>
            </w:r>
            <w:r>
              <w:rPr>
                <w:b/>
                <w:sz w:val="18"/>
              </w:rPr>
              <w:t>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11.905,55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-119.485,07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-1003,6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Nakon izvršenih obveznih korekcija rezultata poslovanja za kapitalne prijenose koji su utrošeni za nabavu nefinancijske imovine (čl. 82. Pravilnika o proračunskom računovodstvu i računskom planu) na kraju izvještajnog razdoblja ostvaren je manjak prihoda u</w:t>
      </w:r>
      <w:r>
        <w:t xml:space="preserve"> iznosu od 119.485,07€ (šifra 9222) a sastoji se od manjka prihoda poslovanja u iznosu od 103.304,72€ i manjka prihoda od nefinancijske imovine 16.180,35€.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688.150,03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680.684,64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98,9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Na računu 991 evidentirana je nabavna vrijednost zgrade Škole koja se </w:t>
      </w:r>
      <w:proofErr w:type="spellStart"/>
      <w:r>
        <w:t>izvanbilančano</w:t>
      </w:r>
      <w:proofErr w:type="spellEnd"/>
      <w:r>
        <w:t xml:space="preserve"> vodi na računu 991119. Također </w:t>
      </w:r>
      <w:proofErr w:type="spellStart"/>
      <w:r>
        <w:t>izvanbilančano</w:t>
      </w:r>
      <w:proofErr w:type="spellEnd"/>
      <w:r>
        <w:t xml:space="preserve"> je evidentirana i promjena metodologije priznavanja EU prihoda i rashoda sukladno točki </w:t>
      </w:r>
      <w:proofErr w:type="spellStart"/>
      <w:r>
        <w:t>IX.g</w:t>
      </w:r>
      <w:proofErr w:type="spellEnd"/>
      <w:r>
        <w:t xml:space="preserve"> Okružnice, pa su evidentirani 99</w:t>
      </w:r>
      <w:r>
        <w:t xml:space="preserve">17 i 9967 vrijednosti  sklopljenog ugovora za </w:t>
      </w:r>
      <w:proofErr w:type="spellStart"/>
      <w:r>
        <w:t>Erasmus</w:t>
      </w:r>
      <w:proofErr w:type="spellEnd"/>
      <w:r>
        <w:t xml:space="preserve"> + projekt.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1.867.193,20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2.188.577,27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Ukupno ostvareni rashodi klase 3 i 4, prema funkcijskoj klasifikaciji pripadaju razredu 09 – Obrazovanje, skupini 092 Srednjoškolsko obrazovanje te su s obzirom na četverogodišnje programe koji se izvode u Školi, razvrstani u podskupinu 0922 Više srednjošk</w:t>
      </w:r>
      <w:r>
        <w:t>olsko obrazovanje – srednjoškolsko obrazovanje s četverogodišnjim programima i 098 stavke knjižene na aktivnosti 530605 Natjecanja i smotri.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4.176,43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Smanjenje vrijednosti Potraživanja za prihode poslovanja u iznosu od 4.176,43€ odnosi se na otpis školarina polaznika obrazovanja odraslih temeljem Odluke o otpisu.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5.891,25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Povećanje u obujmu dugotrajne nefinancijske  imovine odnosi se na prenesenu imovinu od u Primorsko – goranske županije u iznosu od 5.891,25 € (informatička oprema) te uknjiženje imovine temeljem Odluke o prijenosu dugotrajne nefinancijske imovine.</w:t>
      </w:r>
    </w:p>
    <w:p w:rsidR="00DC547E" w:rsidRDefault="00A62E4D">
      <w:r>
        <w:t> 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4.056,29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Svota od 4.056,29€ se sastoji od povećanja međuproračunskih obveza u 2025. god., a koje uključuju obveze prema </w:t>
      </w:r>
      <w:proofErr w:type="spellStart"/>
      <w:r>
        <w:t>Drž</w:t>
      </w:r>
      <w:proofErr w:type="spellEnd"/>
      <w:r>
        <w:t xml:space="preserve">. riznici za bolovanja na teret HZZO-a i obveze po računima </w:t>
      </w:r>
      <w:proofErr w:type="spellStart"/>
      <w:r>
        <w:t>Elektoindustrijske</w:t>
      </w:r>
      <w:proofErr w:type="spellEnd"/>
      <w:r>
        <w:t xml:space="preserve"> i obrtničke škole za refundaciju 50% zajedničkog rashoda komuna</w:t>
      </w:r>
      <w:r>
        <w:t>lne usluge odvoza smeća i vode.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Svota od 2.816,26€ je iznos smanjenja međuproračunskih obveza sastoji se od podmirenih  obveze prema </w:t>
      </w:r>
      <w:proofErr w:type="spellStart"/>
      <w:r>
        <w:t>Drž</w:t>
      </w:r>
      <w:proofErr w:type="spellEnd"/>
      <w:r>
        <w:t>. riznici za bolovanja na teret HZZO-a prema dopisu Ministarstva o provođenju knjigovodstvenih evidencija nakon refundacije naknade plaće za bolovanja n</w:t>
      </w:r>
      <w:r>
        <w:t>a teret HZZO-a te podmirenih računa Elektroindustrijske i obrtničke škole za refundaciju 50% zajedničkog rashoda komunalne usluge odvoza smeća i vode.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5.191,24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Iznos od 5.191,24€ predstavlja proknjiženu vrijednost priznatog troška po </w:t>
      </w:r>
      <w:proofErr w:type="spellStart"/>
      <w:r>
        <w:t>Erasmus</w:t>
      </w:r>
      <w:proofErr w:type="spellEnd"/>
      <w:r>
        <w:t xml:space="preserve"> + projektu a prema uputu Okružnice o promjeni metodologije evidentiranja EU tijekova.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164.956,57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Stanje obveza na kraju izvještajnog razdoblja  iznosi 145.760,45 € se sastoji od nedospjelih obveza nastalih u izvještajnom razdoblju 161.069,47€ i dospjelih obveza korisnika za povrat u proračun – bolovanje HZZO od 3.887,10€.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3.887,10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Dospjele obveza  odnose se na obvezu korisnika za povrat u proračun bolovanja na teret HZZO od 3.887,10€.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DC547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(šifre V010 + ND23 + </w:t>
            </w:r>
            <w:r>
              <w:rPr>
                <w:sz w:val="18"/>
              </w:rPr>
              <w:t>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161.069,47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>Stanje nedospjelih obveza na kraju izvještajnog razdoblja 161.069,47€ sastoji se od obveza za zaposlene u iznosu od 155.948,53€, obveza za materijalne rashode u iznosu od  4.468,46€, obveze za financijske rashode u iznosu od 105,86€,  obveze za nabavu nefi</w:t>
      </w:r>
      <w:r>
        <w:t>nancijske imovine 36,09€, obveze za EU predujmove dane od institucija i tijela EU 510,53€.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DC54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DC547E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DC547E" w:rsidRDefault="00A62E4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DC547E" w:rsidRDefault="00DC547E">
      <w:pPr>
        <w:spacing w:after="0"/>
      </w:pPr>
    </w:p>
    <w:p w:rsidR="00DC547E" w:rsidRDefault="00A62E4D">
      <w:r>
        <w:t xml:space="preserve">Iznos od 5.701,77€ predstavlja proknjiženu vrijednost primljenog predujma po </w:t>
      </w:r>
      <w:proofErr w:type="spellStart"/>
      <w:r>
        <w:t>Erasmus</w:t>
      </w:r>
      <w:proofErr w:type="spellEnd"/>
      <w:r>
        <w:t xml:space="preserve"> + projektu, prema uputi Okružnice o promjeni metodologije evidentiranja EU tijekova.</w:t>
      </w:r>
    </w:p>
    <w:p w:rsidR="00DC547E" w:rsidRDefault="00DC547E"/>
    <w:p w:rsidR="00DC547E" w:rsidRDefault="00A62E4D">
      <w:pPr>
        <w:keepNext/>
        <w:spacing w:line="240" w:lineRule="auto"/>
        <w:jc w:val="center"/>
      </w:pPr>
      <w:r>
        <w:rPr>
          <w:sz w:val="28"/>
        </w:rPr>
        <w:t>Bilješka 32.</w:t>
      </w:r>
    </w:p>
    <w:p w:rsidR="00DC547E" w:rsidRDefault="00A62E4D">
      <w:pPr>
        <w:spacing w:line="240" w:lineRule="auto"/>
        <w:jc w:val="both"/>
      </w:pPr>
      <w:r>
        <w:rPr>
          <w:b/>
        </w:rPr>
        <w:t>EU izvještaj</w:t>
      </w:r>
    </w:p>
    <w:p w:rsidR="00DC547E" w:rsidRDefault="00A62E4D">
      <w:r>
        <w:t xml:space="preserve">Na izvoru financiranja 510 </w:t>
      </w:r>
      <w:proofErr w:type="spellStart"/>
      <w:r>
        <w:t>nallaze</w:t>
      </w:r>
      <w:proofErr w:type="spellEnd"/>
      <w:r>
        <w:t xml:space="preserve"> se stavke vezane za </w:t>
      </w:r>
      <w:proofErr w:type="spellStart"/>
      <w:r>
        <w:t>Eras</w:t>
      </w:r>
      <w:r>
        <w:t>mus</w:t>
      </w:r>
      <w:proofErr w:type="spellEnd"/>
      <w:r>
        <w:t xml:space="preserve"> + projektu koje su upisane u nastavku:</w:t>
      </w:r>
    </w:p>
    <w:p w:rsidR="00DC547E" w:rsidRDefault="00A62E4D">
      <w:r>
        <w:t xml:space="preserve">6 - Ukupni prihodi i primici za razdoblje od 01.01.-31.12.2025.g. ostvareni su u iznosu od 5.191,24€. Prihodi se odnose na Pomoći od inozemnih vlada (631) za projekt </w:t>
      </w:r>
      <w:proofErr w:type="spellStart"/>
      <w:r>
        <w:t>Erasmus</w:t>
      </w:r>
      <w:proofErr w:type="spellEnd"/>
      <w:r>
        <w:t xml:space="preserve"> + </w:t>
      </w:r>
      <w:proofErr w:type="spellStart"/>
      <w:r>
        <w:t>Ecosteam</w:t>
      </w:r>
      <w:proofErr w:type="spellEnd"/>
      <w:r>
        <w:t xml:space="preserve"> i odnosi se na priznate prih</w:t>
      </w:r>
      <w:r>
        <w:t>ode u visini nastalih rashoda u 2025. godini.</w:t>
      </w:r>
    </w:p>
    <w:p w:rsidR="00DC547E" w:rsidRDefault="00A62E4D">
      <w:r>
        <w:t xml:space="preserve">3 - Ukupni rashodi poslovanja za razdoblje od 01.01.-31.12.2025.g. ostvareni su u iznosu od 5.191,24€ a odnose se na troškove službenog putovanja  3.401,36€ i troškove intelektualnih i osobnih usluga 1.789,88€ </w:t>
      </w:r>
      <w:r>
        <w:t>a sve u svrhu realizacije projekta.</w:t>
      </w:r>
    </w:p>
    <w:p w:rsidR="00DC547E" w:rsidRDefault="00A62E4D">
      <w:r>
        <w:lastRenderedPageBreak/>
        <w:t>275 - Stanje obveze za EU predujmove na zadnji dan izvještajnog razdoblja iznosi 510,53€.  Iznos neiskorištenog predujma planira se koristiti za rashode u 2026. godini.</w:t>
      </w:r>
    </w:p>
    <w:p w:rsidR="00DC547E" w:rsidRDefault="00A62E4D">
      <w:r>
        <w:t>Na izvoru financiranja 561 nalaze se prihodi i rash</w:t>
      </w:r>
      <w:r>
        <w:t xml:space="preserve">odi vezani uz pomoćnika u nastavi. Škola ima jednog pomoćnika u nastavi te su troškovi plaće prikazani u omjeru 85% na izvoru 561 a 15% na nacionalnom sufinanciranju, a sve prema uputi nadležnog </w:t>
      </w:r>
      <w:proofErr w:type="spellStart"/>
      <w:r>
        <w:t>tijala</w:t>
      </w:r>
      <w:proofErr w:type="spellEnd"/>
      <w:r>
        <w:t xml:space="preserve"> (PGŽ-a). U ukupnosti, troškovi su veći od prihoda iz r</w:t>
      </w:r>
      <w:r>
        <w:t>azloga knjiženja posljednje plaće, za 12/2025 za pomoćnika u nastavi, za koju imamo proknjiženi trošak ali ne i prihod. Prihod će biti proknjižen u 2026. godini kada je plaća bila i isplaćena.</w:t>
      </w:r>
    </w:p>
    <w:p w:rsidR="00DC547E" w:rsidRDefault="00DC547E"/>
    <w:sectPr w:rsidR="00DC5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7E"/>
    <w:rsid w:val="00A62E4D"/>
    <w:rsid w:val="00D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994B8A-012E-4DA6-9E82-ED793382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2026-02-02T11:05:00Z</dcterms:created>
  <dcterms:modified xsi:type="dcterms:W3CDTF">2026-02-02T11:05:00Z</dcterms:modified>
</cp:coreProperties>
</file>